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Лечебное дело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08:35 МСК · База обновлена: 23.07.2026, 00:49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Лечебное дело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Мужчина, 58 лет, вызвал врача-терапевта участкового на дом.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интенсивные боли давящего характера за грудиной длительностью более 30 минут, не купирующиеся приемом нитроглицерина, общую слабость,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течение последних 3 лет страдает стенокардией напряжения (I-II ФК). На ЭКГ 2 месяца назад регистрировался синусовый ритм с ЧСС 76 в мин., выявлена депрессия сегмента ST II, III, AVF, V5-6, что расценено как снижение кровоснабжения в области нижне-боковой стенки левого желудочка. Назначена терапия аспирином, бета-адреноблокатором (бисопролол), ингибитором АПФ (эналаприл), статином. Утром появились интенсивные боли за грудиной давящего характера. Попытки купировать приступ нитроглицерином без эффекта.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 и развивался нормально.</w:t>
        <w:br/>
        <w:t>* Образование высшее.</w:t>
        <w:br/>
        <w:t>* Работает, предприниматель.</w:t>
        <w:br/>
        <w:t>* Наследственность: отец умер от ИМ в 60 лет, мать 84-х лет страдает ИБС, сестра 60-ти лет страдает ИБС, АГ.</w:t>
        <w:br/>
        <w:t>* Аллергологический анамнез не отягощен.</w:t>
        <w:br/>
        <w:t>* Вредные привычки: курит около 40 лет по ½ - 1 пачке сигарет в день, злоупотребление алкоголем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тяжелое. Кожные покровы бледные, влажные. ИМТ=28 кг/м2. ЧДД – 18 в минуту. В лёгких дыхание жесткое, проводится во все отделы, хрипов нет. Тоны сердца приглушены, ритмичные. ЧСС – 50 ударов в минуту, АД – 120/70 мм рт.ст. Живот при пальпации мягкий, безболезненный. Печень не увеличена. Отёков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план обследования пациента входят следующие инструментальные и лабораторные методы исследования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измерение уровня тропонина I или тропонина 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ЭКГ покоя в 12 отведениях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измерение уровня ЛДГ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измерение уровня глюкозы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рентгенография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измерение уровня МВ-КФК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измерение уровня тропонина I или тропонина Т; 2 — ЭКГ покоя в 12 отведениях; 4 — измерение уровня глюкозы крови</w:t>
      </w:r>
    </w:p>
    <w:p>
      <w:pPr>
        <w:ind w:left="504"/>
      </w:pPr>
      <w:r>
        <w:rPr>
          <w:b w:val="0"/>
          <w:i/>
        </w:rPr>
        <w:t>У пациентов с ОКСпST для подтверждения диагноза ИМпST рекомендуется исследование уровня сердечного тропонина Т или I (согласно номенклатуре медицинских услуг: исследование уровня тропонинов I, T в крови; при невозможности их выполнения - экспресс-исследование уровня тропонинов I, T в крови).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 всех пациентов с подозрением на ИМпST для определения типа ОКС и дифференциальной диагностики с иными заболеваниями рекомендуется зарегистрировать ЭКГ в покое как в минимум в 12 стандартных отведениях.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 всех пациентов с подозрением на ИМпST рекомендуется исследование уровня глюкозы в крови натощак, скрининг на наличие сахарного диабета (СД) (исследование обмена глюкозы; проведение глюкозотолерантного теста; исследование уровня гликированного гемоглобина в крови), а также повторное исследование уровня глюкозы в крови при СД в анамнезе или гипергликемии при госпитализации с целью оценки риска неблагоприятного исхода.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подозрении на инфаркт миокарда правого желудочка необходимо использовать дополнительные отведения ЭКГ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V7-V9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Лиану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V3R и V4R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Нэбу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V3R и V4R</w:t>
      </w:r>
    </w:p>
    <w:p>
      <w:pPr>
        <w:ind w:left="504"/>
      </w:pPr>
      <w:r>
        <w:rPr>
          <w:b w:val="0"/>
          <w:i/>
        </w:rPr>
        <w:t>Рекомендуется использовать дополнительные отведения ЭКГ (V3R–V4R и/или V7–V9) у пациентов с ИМпST нижней стенки ЛЖ и/или подозрении на ИМ правого желудочка и/или задней стенки ЛЖ для диагностики распространения зоны инфаркта на правый желудочек и/или задние отделы ЛЖ.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Больного необходимо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госпитализировать в стационар с возможностью инвазивного лечения ИМпST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вести в амбулаторных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госпитализировать в кардиологический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направить на консультацию врача-кардиолога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госпитализировать в стационар с возможностью инвазивного лечения ИМпST</w:t>
      </w:r>
    </w:p>
    <w:p>
      <w:pPr>
        <w:ind w:left="504"/>
      </w:pPr>
      <w:r>
        <w:rPr>
          <w:b w:val="0"/>
          <w:i/>
        </w:rPr>
        <w:t>Пациенты c ИМпST должны госпитализироваться в региональные сосудистые центры для пациентов с ОКС, в кардиологические отделения с палатой реанимации и интенсивной терапии для пациентов с ОКС (первичные сосудистые отделения). Поскольку многим пациентам с подозрением на ОКС может потребоваться углубленная дифференциальная диагностика, их оптимально госпитализировать в многопрофильный стационар с возможностью экстренной диагностики и лечения острой коронарной и иной патологии. Маршрутизация пациентов должна быть организована так, чтобы все они госпитализировались или как можно быстрее переводились в стационар с возможностью инвазивного лечения ОКС.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Основной диагноз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ИМпST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ИМбпST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Нестабильная стенокардия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Стенокардия напряжения 4 ф.кл.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ИМпST</w:t>
      </w:r>
    </w:p>
    <w:p>
      <w:pPr>
        <w:ind w:left="504"/>
      </w:pPr>
      <w:r>
        <w:rPr>
          <w:b w:val="0"/>
          <w:i/>
        </w:rPr>
        <w:t>ИМ со стойким подъемом сегмента ST на ЭКГ (ИМпST) — ИМ, при котором в ранние сроки заболевания имеют место стойкий (длительностью более 20 минут) подъем сегмента ST как минимум в двух смежных отведениях ЭКГ. К этой категории также относят пациентов с остро возникшей блокадой ЛНПГ.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Рутинная стратификация риска в период госпитализации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проводитсся по шкале TIMI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проводитсся по шкале GRACE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проводитсся по шкале SCORE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проводится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проводится</w:t>
      </w:r>
    </w:p>
    <w:p>
      <w:pPr>
        <w:ind w:left="504"/>
      </w:pPr>
      <w:r>
        <w:rPr>
          <w:b w:val="0"/>
          <w:i/>
        </w:rPr>
        <w:t>Рутинная стратификация риска неблагоприятных исходов с помощью шкал у пациентов с ИМпST в период госпитализации не рекомендуется из-за отсутствия доказанно эффективных вмешательств, основанных на результатах данной стратификации.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Пациенту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тромболитическую терапию (ТЛТ)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аортокоронарное шунтирование (АКШ)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первичное чрескожное коронарное вмешательство (ЧКВ)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радиочастотную аблацию (РЧА)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первичное чрескожное коронарное вмешательство (ЧКВ)</w:t>
      </w:r>
    </w:p>
    <w:p>
      <w:pPr>
        <w:ind w:left="504"/>
      </w:pPr>
      <w:r>
        <w:rPr>
          <w:b w:val="0"/>
          <w:i/>
        </w:rPr>
        <w:t>Для снижения риска смерти рекомендуется выполнение первичного ЧКВ как предпочтительной реперфузионной стратегии в первые 12 часов от начала развития ИМпST, если ожидаемое время от момента постановки диагноза до проведения проводника в просвет инфаркт-связанной КА не превышает 120 минут.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Больному необходимо назначить двойную антитромбоцитарную терапию в нагрузочной дозе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ацетилсалициловая кислота 100 мг + клопидогрел 300 мг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ацетилсалициловая кислота  250 мг + прасугрел 60 мг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ацетилсалициловая кислота 100 мг + тикагрелор 90 мг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ацетилсалициловая кислота 100 мг + клопидогрел 75 мг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ацетилсалициловая кислота  250 мг + прасугрел 60 мг</w:t>
      </w:r>
    </w:p>
    <w:p>
      <w:pPr>
        <w:ind w:left="504"/>
      </w:pPr>
      <w:r>
        <w:rPr>
          <w:b w:val="0"/>
          <w:i/>
        </w:rPr>
        <w:t>Для снижения риска смерти, сосудистой смерти, повторного ИМ и ишемического инсульта всем пациентам (вне зависимости от стратегии лечения) с ИМпST, не имеющим противопоказаний, рекомендуется прием ацетилсалициловой кислоты** (АСК**) в начальной нагрузочной дозе, а затем в поддерживающей дозе на неопределенно долгий срок.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Рекомендуется начальная (нагрузочная) доза АСК{asterisk}{asterisk} (группа B01AC - антиагреганты кроме гепарина) 150-300 мг (таблетку разжевать и проглотить) как можно быстрее после установления диагноза ОКСпST / ИМпST;</w:t>
        <w:br/>
        <w:br/>
      </w:r>
      <w:hyperlink r:id="rId33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При выполнении первичного ЧКВ у пациентов с ИМпST в добавление к АСК{asterisk}{asterisk} рекомендуется предпочесть прасугрел, а не тикагрелор{asterisk}{asterisk}.</w:t>
        <w:br/>
        <w:br/>
      </w:r>
      <w:hyperlink r:id="rId34">
        <w:r>
          <w:rPr>
            <w:color w:val="173C49"/>
            <w:u w:val="single"/>
          </w:rPr>
          <w:t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Пациенту показан/показано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прием глюкокортикостероидов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прием пероральных антикоагулянтов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введение парентеральных антикоагулянтов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введение коллоидных растворов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введение парентеральных антикоагулянтов</w:t>
      </w:r>
    </w:p>
    <w:p>
      <w:pPr>
        <w:ind w:left="504"/>
      </w:pPr>
      <w:r>
        <w:rPr>
          <w:b w:val="0"/>
          <w:i/>
        </w:rPr>
        <w:t>Для снижения риска ишемических событий рекомендуется начинать парентеральное введение антикоагулянтов после подтверждения диагноза ИМпST у пациентов, не имеющих противопоказаний. При выборе препарата следует учитывать риск возможных ишемических осложнений и кровотечений, а также профиль эффективности и безопасности конкретного антикоагулянта.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Первичное коронарное вмешательство пациенту должно быть выполнено в пределах +______+ после первичного контакта с медицинским работником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120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24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72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120 минут</w:t>
      </w:r>
    </w:p>
    <w:p>
      <w:pPr>
        <w:ind w:left="504"/>
      </w:pPr>
      <w:r>
        <w:rPr>
          <w:b w:val="0"/>
          <w:i/>
        </w:rPr>
        <w:t>Для снижения риска смерти рекомендуется выполнение первичного ЧКВ как предпочтительной реперфузионной стратегии в первые 12 часов от начала развития ИМпST, если ожидаемое время от момента постановки диагноза до проведения проводника в просвет инфаркт-связанной КА не превышает 120 минут.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Пациенту необходимо назначить аторвастатин в дозе \_______ мг/сут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10-20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40-80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20-40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80-100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40-80</w:t>
      </w:r>
    </w:p>
    <w:p>
      <w:pPr>
        <w:ind w:left="504"/>
      </w:pPr>
      <w:r>
        <w:rPr>
          <w:b w:val="0"/>
          <w:i/>
        </w:rPr>
        <w:t>Рекомендуется применение ингибиторов ГМГ-КоА-редуктазы с наиболее выраженным гиполипидемическим действием, в частности аторвастатина** в суточной дозе 40–80 мг или розувастатина в суточной дозе 20–40 мг.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Двойная антитромбоцитарная терапия показана пациенту в течение +_____+ мес.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12</w:t>
      </w:r>
    </w:p>
    <w:p>
      <w:pPr>
        <w:ind w:left="504"/>
      </w:pPr>
      <w:r>
        <w:rPr>
          <w:b w:val="0"/>
          <w:i/>
        </w:rPr>
        <w:t>Всем пациентам с ИМпST (вне зависимости от стратегии лечения, за исключением планирующегося КШ), не имеющим высокого риска кровотечений в добавление к АСК** рекомендуются ингибиторы Р2Y12-рецептора тромбоцитов (группа B01AC - ингибиторы агрегации тромбоцитов, кроме гепарина в начальной нагрузочной дозе, а затем в поддерживающей дозе сроком на 12 месяцев для снижения суммарного риска смерти, ИМ и ишемического инсульта.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Помимо диеты с ограничением употребления животных жиров и легкоусвояемых углеводов пациенту необходимо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увеличить массу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выполнять интенсивные физические нагрузки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отказаться от курения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избегать переохлаждений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отказаться от курения</w:t>
      </w:r>
    </w:p>
    <w:p>
      <w:pPr>
        <w:ind w:left="504"/>
      </w:pPr>
      <w:r>
        <w:rPr>
          <w:b w:val="0"/>
          <w:i/>
        </w:rPr>
        <w:t>Для снижения риска сердечно-сосудистых событий среди пациентов, перенесших ИМпST, рекомендуются выявление курильщиков и регулярные вмешательства, направленные на полный отказ от курения, включая отказ от пассивного курения.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Лечебное дело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М. 26 лет обратился в поликлинику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слабость, повышение температуры до 37, 4°С, тошноту, снижение аппетита, рвоту после еды, «тяжесть» в эпигастрии и дискомфорт в правом подреберье, потемнение мочи, желтушное окрашивание склер.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•</w:t>
        <w:tab/>
        <w:t>Заболел остро с повышения температуры до 38,5°С, головной боли, боли в мышцах и суставах. Высокая лихорадка (38,5°С- 39,0°С) сохранялась в течении первых 3-х дней. Лечился дома самостоятельно от «простуды». К врачу не обращался.</w:t>
        <w:br/>
        <w:t>•</w:t>
        <w:tab/>
        <w:t>В последующие дни появились тошнота, ощущение «тяжести» в эпигастрии и правом подреберье, пропал аппетит.</w:t>
        <w:br/>
        <w:t>•</w:t>
        <w:tab/>
        <w:t>На 6-й день болезни отметил потемнение мочи. Окружающие заметили желтуху, что послужило причиной обращения к врачу.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•</w:t>
        <w:tab/>
        <w:t>Работает менеджером-консультантом в торговом зале.</w:t>
        <w:br/>
        <w:t>•</w:t>
        <w:tab/>
        <w:t>Проживает в отдельной квартире с родителями.</w:t>
        <w:br/>
        <w:t>•</w:t>
        <w:tab/>
        <w:t>Аллергоанамнез: не отягощен.</w:t>
        <w:br/>
        <w:t>•</w:t>
        <w:tab/>
        <w:t>Перенесенные инфекционные и неинфекционные заболевания: детские инфекции, простудные заболевания.</w:t>
        <w:br/>
        <w:t>•</w:t>
        <w:tab/>
        <w:t>Вредные привычки: отрицает.</w:t>
        <w:br/>
        <w:t>•</w:t>
        <w:tab/>
        <w:t>Парентеральный анамнез не отягощен.</w:t>
        <w:br/>
        <w:t>•</w:t>
        <w:tab/>
        <w:t>За полтора месяца до настоящего заболевания выезжал на отдых в Краснодарский край (проживал в частном секторе), пользовался услугами общепита.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•</w:t>
        <w:tab/>
        <w:t>Температура тела 36,5°С.</w:t>
        <w:br/>
        <w:t>•</w:t>
        <w:tab/>
        <w:t>Кожа и склеры желтушны, сыпи нет.</w:t>
        <w:br/>
        <w:t>•</w:t>
        <w:tab/>
        <w:t>Язык сухой, обложен белым налетом.</w:t>
        <w:br/>
        <w:t>•</w:t>
        <w:tab/>
        <w:t>Живот мягкий, чувствителен при пальпации в правом подреберье.</w:t>
        <w:br/>
        <w:t>•</w:t>
        <w:tab/>
        <w:t>Печень выступает из-под края реберной дуги на 3 см, мягко-эластичной консистенции, чувствительна при пальпации. Пальпируется полюс селезенки.</w:t>
        <w:br/>
        <w:t>•</w:t>
        <w:tab/>
        <w:t>Моча темная, стул ахоличен.</w:t>
        <w:br/>
        <w:t>•</w:t>
        <w:tab/>
        <w:t>АД – 100/60 мм.рт.ст, ЧСС – 60 уд. в мин.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и оценки степени тяжести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ДНК-диагностика уридинфосфатглюкуронилтрансферазы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протромбинового индекса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альфа-фетопротеина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ИФА для определения маркеров вирусных гепатитов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определение церулоплазмина  сыворотки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определение протромбинового индекса; 3 — биохимический анализ крови; 5 — ИФА для определения маркеров вирусных гепатитов</w:t>
      </w:r>
    </w:p>
    <w:p>
      <w:pPr>
        <w:ind w:left="504"/>
      </w:pPr>
      <w:r>
        <w:rPr>
          <w:b w:val="0"/>
          <w:i/>
        </w:rPr>
        <w:t>Недостаточность белково-синтетической функции печени проявляется в количественном снижении факторов свертывания крови, истощения прокоагулянтного звена гемостаза. Практическое значение в оценке степени тяжести течения гепатита имеет факт снижения протромбинового индекса, что клинически проявляется развитием геморрагического синдрома.</w:t>
        <w:br/>
        <w:br/>
      </w:r>
      <w:hyperlink r:id="rId40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диагностики поражения печени в биохимическом анализе крови определяется наличие и выраженность синдромов цитолиза, холестаза и мезенхимального воспаления.</w:t>
        <w:br/>
        <w:br/>
      </w:r>
      <w:hyperlink r:id="rId40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Специфическим методом ранней диагностики всех форм острых вирусных гепатитов является обнаружение с помощью ИФА маркеров вирусных гепатитов (антигенов и антител с учетом классов иммуноглобулинов) в сыворотке крови.</w:t>
        <w:br/>
        <w:br/>
      </w:r>
      <w:hyperlink r:id="rId40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для постановки диагноза инструментальным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сцинтиграфия печени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эзофагодуоденоскопия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эластография печени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УЗИ органов брюшной полости</w:t>
      </w:r>
    </w:p>
    <w:p>
      <w:pPr>
        <w:ind w:left="504"/>
      </w:pPr>
      <w:r>
        <w:rPr>
          <w:b w:val="0"/>
          <w:i/>
        </w:rPr>
        <w:t>Показано пациентам с клиническими симптомами острого ВГ для уточнения размеров печени, селезенки, поджелудочной железы, лимфатических узлов и оценки их структуры в острый период и в динамике процесса. А также для дифференциальной диагностики заболеваний, сопровождающихся развитием желтушного синдрома.</w:t>
        <w:br/>
        <w:br/>
      </w:r>
      <w:hyperlink r:id="rId40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клинико-анамнестические, лабораторные и инструментальные данные обследования, можно думать о диагнозе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Вирусный гепатит А, желтушная форма, средней степени тяжести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Желчекаменная болезнь. Острый калькулезный холецистит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 Жильбера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Острый вирусный гепатит С, желтушная форма, средней степени тяжести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Вирусный гепатит А, желтушная форма, средней степени тяжести</w:t>
      </w:r>
    </w:p>
    <w:p>
      <w:pPr>
        <w:ind w:left="504"/>
      </w:pPr>
      <w:r>
        <w:rPr>
          <w:b w:val="0"/>
          <w:i/>
        </w:rPr>
        <w:t>Учитывая данные анамнеза заболевания: цикличности течения с дожелтушным периодом по смешанному варианту, последующим развитием желтушного синдрома, появлением гепатоспленомегалии, данные эпид анамнеза, а также данные лабораторного исследования, можно думать о диагнозе: вирусный гепатит А, желтушная форма, средней степени тяжести.</w:t>
        <w:br/>
        <w:br/>
      </w:r>
      <w:hyperlink r:id="rId40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Клиническим критерием тяжелого течения острого вирусного гепатита является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пальмарной эритемы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«сосудистых звездочек» на коже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увеличения размеров печени на фоне нарастающей желтухи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геморрагического синдрома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геморрагического синдрома</w:t>
      </w:r>
    </w:p>
    <w:p>
      <w:pPr>
        <w:ind w:left="504"/>
      </w:pPr>
      <w:r>
        <w:rPr>
          <w:b w:val="0"/>
          <w:i/>
        </w:rPr>
        <w:t>Тяжелую форму гепатита характеризуют, помимо нарастания признаков интоксикации, новые клинические симптомы: головокружение, мелькание мушек перед глазами и адинамия, к которым могут присоединиться геморрагический синдром, тахикардия, болезненность в области печени, склонность к задержке жидкости, лихорадка с нейтрофильным лейкоцитозом.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4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Наиболее значимым лабораторным критерием тяжелого течения острого вирусного гепатита 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трансаминазно-билирубиновая диссоциация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повышение активности транасаминаз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высокий уровень содержания прямой фракции билирубина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снижение уровня содержания протромбина в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снижение уровня содержания протромбина в крови</w:t>
      </w:r>
    </w:p>
    <w:p>
      <w:pPr>
        <w:ind w:left="504"/>
      </w:pPr>
      <w:r>
        <w:rPr>
          <w:b w:val="0"/>
          <w:i/>
        </w:rPr>
        <w:t>Биохимические признаки характерные для тяжелого течения: протромбиновый индекс, более высокий показатель АСТ по сравнению с АЛТ, появление при нарастании тяжести билирубино-ферментной диссоциации - снижение уровня активности аминотрансфераз с одновременным повышением уровня билирубина крови.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4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Возможным осложнением вирусного гепатита 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острая печеночная энцефалопатия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перфорация стенки кишечника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инфекционно-токсический шок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гиповолемический шок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острая печеночная энцефалопатия</w:t>
      </w:r>
    </w:p>
    <w:p>
      <w:pPr>
        <w:ind w:left="504"/>
      </w:pPr>
      <w:r>
        <w:rPr>
          <w:b w:val="0"/>
          <w:i/>
        </w:rPr>
        <w:t>При тяжелом течении гепатита, в связи с нарушением детоксикационной функции печени, накоплением в крови продуктов тканевого распада и бактериальных антигенов в результате активизации условно-патогенной  микрофлоры кишечника в отсутствии желчи и по мере истощения компенсаторных возможностей печени появляются симптомы острой печеночной недостаточности, в том числе нарушение функции ЦНС, с развитием острой печеночной энцефалопатии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4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Базисной терапией вирусного гепатита 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противовирусная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иммуномодулирующая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дезинтоксикационная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антибактериальная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дезинтоксикационная</w:t>
      </w:r>
    </w:p>
    <w:p>
      <w:pPr>
        <w:ind w:left="504"/>
      </w:pPr>
      <w:r>
        <w:rPr>
          <w:b w:val="0"/>
          <w:i/>
        </w:rPr>
        <w:t>Дезинтоксикационная терапия направлена на купирование синдрома интоксикации,ее объем зависит от степени тяжести пациента.</w:t>
        <w:br/>
        <w:br/>
      </w:r>
      <w:hyperlink r:id="rId40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С целью дезинтоксикации больным среднетяжелой формой вирусного гепатита А назначают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низкорезорбтивные антибиотики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энтеросорбенты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эссенциальные фосфолипиды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аминокислоты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энтеросорбенты</w:t>
      </w:r>
    </w:p>
    <w:p>
      <w:pPr>
        <w:ind w:left="504"/>
      </w:pPr>
      <w:r>
        <w:rPr>
          <w:b w:val="0"/>
          <w:i/>
        </w:rPr>
        <w:t>Больным среднетяжёлой формой ВГА кроме базисной терапии с целью дезинтоксикации назначают энтеросорбенты, а при тошноте, отказе от питья внутривенно капельно 5% раствор глюкозы*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Всем больным ГА для нормализации функции ЖКТ назначают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лактулозу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адеметионин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препараты из группы нитроимидазолов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эссенциальные фосфолипиды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лактулозу</w:t>
      </w:r>
    </w:p>
    <w:p>
      <w:pPr>
        <w:ind w:left="504"/>
      </w:pPr>
      <w:r>
        <w:rPr>
          <w:b w:val="0"/>
          <w:i/>
        </w:rPr>
        <w:t>Лактулоза - слабительное средство. Вызывает изменение флоры толстой кишки (увеличение количества лактобацилл), что приводит к повышению кислотности в просвете толстой кишки и стимулирует его перистальтику. Наряду с этим увеличивается объем и происходит размягчение каловых масс. В результате развивается слабительный эффект, без непосредственного влияния на слизистую оболочку и гладкую мускулатуру толстой кишки. Под действием лактулозы происходит также поглощение аммиака в толстой кишке, уменьшение образования азотсодержащих токсических веществ в его проксимальном отделе и, соответственно, всасывания их в систему полой вены. Средство используется в качестве дезинтоксикационной терапии.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5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лечении вирусного гепатита А с холестатическим синдромом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эссенциальные фосфолипиды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орнитин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урсодезоксихолевую кислоту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рибавирин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урсодезоксихолевую кислоту</w:t>
      </w:r>
    </w:p>
    <w:p>
      <w:pPr>
        <w:ind w:left="504"/>
      </w:pPr>
      <w:r>
        <w:rPr>
          <w:b w:val="0"/>
          <w:i/>
        </w:rPr>
        <w:t>Урсодезоксихолевая кислота за счет образования безопасных комплексов с токсичными желчными кислотами нейтрализует их, предотвращая повреждающее действие на мембраны клеток. Также влияет на печеночную рециркуляцию желчных кислот (на их обратное всасывание из кишечника в желчь), уменьшает всасывание холестерина в кишечнике.</w:t>
        <w:br/>
        <w:br/>
      </w:r>
      <w:hyperlink r:id="rId40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целях профилактики инфицирования вирусным гепатитом А назначают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иммуномодуляторы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противовирусные препараты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вакцинацию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интерфероны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вакцинацию</w:t>
      </w:r>
    </w:p>
    <w:p>
      <w:pPr>
        <w:ind w:left="504"/>
      </w:pPr>
      <w:r>
        <w:rPr>
          <w:b w:val="0"/>
          <w:i/>
        </w:rPr>
        <w:t>Специфическую профилактику осуществляют инактивированными вакцинами. В России зарегистрированы несколько как отечественных, так и зарубежных вакцин. Применяют двукратное введение вакцины, что обеспечивает длительную (до 25 лет) защиту от ГA. В национальный календарь профилактических прививок вакцинация против ГA включена по эпидемическим показаниям.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5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Пациенты, перенесшие острый вирусный гепатит А подлежат диспансеризации в течение \______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6-9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3-6</w:t>
      </w:r>
    </w:p>
    <w:p>
      <w:pPr>
        <w:ind w:left="504"/>
      </w:pPr>
      <w:r>
        <w:rPr>
          <w:b w:val="0"/>
          <w:i/>
        </w:rPr>
        <w:t>Реконвалесценты ГA находятся на диспансерном наблюдении в КИЗ в течение 3-6 мес в зависимости от их самочувствия, быстроты нормализации размеров печени и динамики биохимических исследований.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5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Лечебное дело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157_24/" TargetMode="External"/><Relationship Id="rId23" Type="http://schemas.openxmlformats.org/officeDocument/2006/relationships/hyperlink" Target="https://library.mededtech.ru/rest/documents/KP157_24/#list_item_e6chi4" TargetMode="External"/><Relationship Id="rId24" Type="http://schemas.openxmlformats.org/officeDocument/2006/relationships/hyperlink" Target="https://library.mededtech.ru/rest/documents/KP157_24/#list_item_oup746" TargetMode="External"/><Relationship Id="rId25" Type="http://schemas.openxmlformats.org/officeDocument/2006/relationships/hyperlink" Target="https://library.mededtech.ru/rest/documents/KP157_24/#list_item_m36lqd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KP157_24/#list_item_33gma5" TargetMode="External"/><Relationship Id="rId28" Type="http://schemas.openxmlformats.org/officeDocument/2006/relationships/hyperlink" Target="https://library.mededtech.ru/rest/documents/KP157_24/#paragraph_vapn7e" TargetMode="External"/><Relationship Id="rId29" Type="http://schemas.openxmlformats.org/officeDocument/2006/relationships/hyperlink" Target="https://library.mededtech.ru/rest/documents/KP157_24/#paragraph_0cmlt8" TargetMode="External"/><Relationship Id="rId30" Type="http://schemas.openxmlformats.org/officeDocument/2006/relationships/hyperlink" Target="https://library.mededtech.ru/rest/documents/KP157_24/#list_item_j1kcgs" TargetMode="External"/><Relationship Id="rId31" Type="http://schemas.openxmlformats.org/officeDocument/2006/relationships/hyperlink" Target="https://library.mededtech.ru/rest/documents/KP157_24/#list_item_1vucaa" TargetMode="External"/><Relationship Id="rId32" Type="http://schemas.openxmlformats.org/officeDocument/2006/relationships/hyperlink" Target="https://library.mededtech.ru/rest/documents/KP157_24/#list_item_68l7ur" TargetMode="External"/><Relationship Id="rId33" Type="http://schemas.openxmlformats.org/officeDocument/2006/relationships/hyperlink" Target="https://library.mededtech.ru/rest/documents/KP157_24/#paragraph_o0hvcb" TargetMode="External"/><Relationship Id="rId34" Type="http://schemas.openxmlformats.org/officeDocument/2006/relationships/hyperlink" Target="https://library.mededtech.ru/rest/documents/KP157_24/#list_item_nbsl6c" TargetMode="External"/><Relationship Id="rId35" Type="http://schemas.openxmlformats.org/officeDocument/2006/relationships/hyperlink" Target="https://library.mededtech.ru/rest/documents/KP157_24/#list_item_a3efj7" TargetMode="External"/><Relationship Id="rId36" Type="http://schemas.openxmlformats.org/officeDocument/2006/relationships/hyperlink" Target="https://library.mededtech.ru/rest/documents/KP157_24/#paragraph_pnq575" TargetMode="External"/><Relationship Id="rId37" Type="http://schemas.openxmlformats.org/officeDocument/2006/relationships/hyperlink" Target="https://library.mededtech.ru/rest/documents/KP157_24/#list_item_irccmn" TargetMode="External"/><Relationship Id="rId38" Type="http://schemas.openxmlformats.org/officeDocument/2006/relationships/hyperlink" Target="https://library.mededtech.ru/rest/documents/KP157_24/#list_item_5507g4" TargetMode="External"/><Relationship Id="rId39" Type="http://schemas.openxmlformats.org/officeDocument/2006/relationships/image" Target="media/image8.png"/><Relationship Id="rId40" Type="http://schemas.openxmlformats.org/officeDocument/2006/relationships/hyperlink" Target="https://library.mededtech.ru/rest/documents/KP718_2/" TargetMode="External"/><Relationship Id="rId41" Type="http://schemas.openxmlformats.org/officeDocument/2006/relationships/hyperlink" Target="https://library.mededtech.ru/rest/documents/KP718_2/#list_item_66s8vo" TargetMode="External"/><Relationship Id="rId42" Type="http://schemas.openxmlformats.org/officeDocument/2006/relationships/hyperlink" Target="https://library.mededtech.ru/rest/documents/KP718_2/#list_item_6qkmim" TargetMode="External"/><Relationship Id="rId43" Type="http://schemas.openxmlformats.org/officeDocument/2006/relationships/hyperlink" Target="https://library.mededtech.ru/rest/documents/KP718_2/#list_item_llnsql" TargetMode="External"/><Relationship Id="rId44" Type="http://schemas.openxmlformats.org/officeDocument/2006/relationships/hyperlink" Target="https://library.mededtech.ru/rest/documents/KP718_2/#list_item_1a1vab" TargetMode="External"/><Relationship Id="rId45" Type="http://schemas.openxmlformats.org/officeDocument/2006/relationships/hyperlink" Target="https://library.mededtech.ru/rest/documents/KP718_2/#paragraph_fhuafc" TargetMode="External"/><Relationship Id="rId46" Type="http://schemas.openxmlformats.org/officeDocument/2006/relationships/hyperlink" Target="https://library.mededtech.ru/rest/documents/ISBN9785970465196/?anchor=paragraph_3n1rl9#paragraph_3n1rl9" TargetMode="External"/><Relationship Id="rId47" Type="http://schemas.openxmlformats.org/officeDocument/2006/relationships/hyperlink" Target="https://library.mededtech.ru/rest/documents/KP718_2/#paragraph_gp2rfb" TargetMode="External"/><Relationship Id="rId48" Type="http://schemas.openxmlformats.org/officeDocument/2006/relationships/hyperlink" Target="https://library.mededtech.ru/rest/documents/ISBN9785970465196/?anchor=paragraph_l05955#paragraph_l05955" TargetMode="External"/><Relationship Id="rId49" Type="http://schemas.openxmlformats.org/officeDocument/2006/relationships/hyperlink" Target="https://library.mededtech.ru/rest/documents/KP718_2/#paragraph_lpu2hp" TargetMode="External"/><Relationship Id="rId50" Type="http://schemas.openxmlformats.org/officeDocument/2006/relationships/hyperlink" Target="https://library.mededtech.ru/rest/documents/KP718_2/#list_item_q3mgdh" TargetMode="External"/><Relationship Id="rId51" Type="http://schemas.openxmlformats.org/officeDocument/2006/relationships/hyperlink" Target="https://library.mededtech.ru/rest/documents/ISBN9785970465196/?anchor=paragraph_2f78j4#paragraph_2f78j4" TargetMode="External"/><Relationship Id="rId52" Type="http://schemas.openxmlformats.org/officeDocument/2006/relationships/hyperlink" Target="https://library.mededtech.ru/rest/documents/ISBN9785970465196/?anchor=paragraph_o5sc95#paragraph_o5sc95" TargetMode="External"/><Relationship Id="rId53" Type="http://schemas.openxmlformats.org/officeDocument/2006/relationships/hyperlink" Target="https://library.mededtech.ru/rest/documents/KP718_2/#list_item_njq448" TargetMode="External"/><Relationship Id="rId54" Type="http://schemas.openxmlformats.org/officeDocument/2006/relationships/hyperlink" Target="https://library.mededtech.ru/rest/documents/KP718_2/#list_item_2iav11" TargetMode="External"/><Relationship Id="rId55" Type="http://schemas.openxmlformats.org/officeDocument/2006/relationships/hyperlink" Target="https://library.mededtech.ru/rest/documents/ISBN9785970465196/?anchor=paragraph_306e9u#paragraph_306e9u" TargetMode="External"/><Relationship Id="rId56" Type="http://schemas.openxmlformats.org/officeDocument/2006/relationships/hyperlink" Target="https://library.mededtech.ru/rest/documents/KP718_2/#paragraph_itqadd" TargetMode="External"/><Relationship Id="rId57" Type="http://schemas.openxmlformats.org/officeDocument/2006/relationships/hyperlink" Target="https://library.mededtech.ru/rest/documents/ISBN9785970465196/?anchor=paragraph_skm3i2#paragraph_skm3i2" TargetMode="External"/><Relationship Id="rId58" Type="http://schemas.openxmlformats.org/officeDocument/2006/relationships/hyperlink" Target="https://library.mededtech.ru/rest/documents/KP718_2/#list_item_r1bua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